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konkursie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września br. kapituła Prix Galien Polska pod przewodnictwem prof. Cezarego Szczylika ogłosiła listę nominowanych w 4 kategoriach konkursowych. W tym roku w konkursie pojawiło się 18 zgłoszeń – wiele na bardzo wysokim poziomie, spośród których kapituła wybrała nominowanych. Zwycięzców polskiej edycji tego najbardziej prestiżowego na świecie konkursu w zakresie medycyny i farmacji poznamy już 16 listopada podczas uroczystej gali, która w tym roku odbędzie się w Hotelu Hilton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nasze nominacje to już duże wyróżnienie”</w:t>
      </w:r>
      <w:r>
        <w:rPr>
          <w:rFonts w:ascii="calibri" w:hAnsi="calibri" w:eastAsia="calibri" w:cs="calibri"/>
          <w:sz w:val="24"/>
          <w:szCs w:val="24"/>
        </w:rPr>
        <w:t xml:space="preserve"> – powiedziała prof. dr hab. n. med. Grażyna Rydzewska, wiceprzewodnicząca kapituły.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PRIX GALIEN Polska 2016 - nominacje: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I. kategoria: Innowacyjny produkt leczniczy: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Z O.O. za: evolocumab</w:t>
      </w:r>
      <w:r>
        <w:rPr>
          <w:rFonts w:ascii="calibri" w:hAnsi="calibri" w:eastAsia="calibri" w:cs="calibri"/>
          <w:sz w:val="24"/>
          <w:szCs w:val="24"/>
        </w:rPr>
        <w:t xml:space="preserve"> – pierwsze całkowicie ludzkie przeciwciało monoklonalne zatwierdzone na świecie, wskazane u dorosłych chorych z pierwotną hipercholesterolemią: rodzinną heterozygotyczną i mieszaną oraz homozygotyczną lub mieszaną dyslipidemią.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BOEHRINGER INGELHEIM MARKETING SP. Z O.O. za: empagliflozynę</w:t>
      </w:r>
      <w:r>
        <w:rPr>
          <w:rFonts w:ascii="calibri" w:hAnsi="calibri" w:eastAsia="calibri" w:cs="calibri"/>
          <w:sz w:val="24"/>
          <w:szCs w:val="24"/>
        </w:rPr>
        <w:t xml:space="preserve">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c. SANOFI-AVENTIS SP. Z O.O. za: alirokumab</w:t>
      </w:r>
      <w:r>
        <w:rPr>
          <w:rFonts w:ascii="calibri" w:hAnsi="calibri" w:eastAsia="calibri" w:cs="calibri"/>
          <w:sz w:val="24"/>
          <w:szCs w:val="24"/>
        </w:rPr>
        <w:t xml:space="preserve"> - stosowany w leczeniu wysokiego stężenia „złego cholesterolu”, umożliwia redukcję jego stężenia o ponad 60% i osiągnięcie docelowych stężeń nawet u ponad 90% chorych z wysokim ryzykiem sercowo-naczyniowym, u których standardowa terapia jest nieskuteczna - także u pacjentów z hipercholesterolemią rodzinną i nie tolerujących statyn.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JANSSEN-CILAG POLSKA SP. Z O.O. za: ibrutynib</w:t>
      </w:r>
      <w:r>
        <w:rPr>
          <w:rFonts w:ascii="calibri" w:hAnsi="calibri" w:eastAsia="calibri" w:cs="calibri"/>
          <w:sz w:val="24"/>
          <w:szCs w:val="24"/>
        </w:rPr>
        <w:t xml:space="preserve"> -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MSD POLSKA SP. Z O.O. za: 9-walentną szczepionkę przeciwko wirusowi brodawczaka ludzkiego</w:t>
      </w:r>
      <w:r>
        <w:rPr>
          <w:rFonts w:ascii="calibri" w:hAnsi="calibri" w:eastAsia="calibri" w:cs="calibri"/>
          <w:sz w:val="24"/>
          <w:szCs w:val="24"/>
        </w:rPr>
        <w:t xml:space="preserve">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SP. Z O.O. za: blinatumomab</w:t>
      </w:r>
      <w:r>
        <w:rPr>
          <w:rFonts w:ascii="calibri" w:hAnsi="calibri" w:eastAsia="calibri" w:cs="calibri"/>
          <w:sz w:val="24"/>
          <w:szCs w:val="24"/>
        </w:rPr>
        <w:t xml:space="preserve"> – pierwszą, przełomową immunoterapię zarejestrowaną do stosowania u pacjentów z nawrotową lub oporną ostrą białaczką limfoblastyczną z prekursorowych limfocytów B bez obecności chromosomu Philadelphia.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ASTRAZENECA PHARMA POLAND SP. Z O.O. za: olaparyb</w:t>
      </w:r>
      <w:r>
        <w:rPr>
          <w:rFonts w:ascii="calibri" w:hAnsi="calibri" w:eastAsia="calibri" w:cs="calibri"/>
          <w:sz w:val="24"/>
          <w:szCs w:val="24"/>
        </w:rPr>
        <w:t xml:space="preserve"> – pierwszy lek celowany w terapii chorych z rakiem jajnika z mutacją w genie BRCA1/2. Odpowiada na istotne potrzeby kliniczne dobrze zdefiniowanej pod względem molekularnym grupy chorych, a jego mechanizm działania otwiera nową, bardzo obiecującą, klasę leków przeciwnowotworowych skoncentrowanych na hamowaniu odpowiedzi na uszkodzenia DNA.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Prof. dr hab. Grażyna Ginalska, Uniwersytet Medyczny w Lublinie za: kościozastępczy biomateriał implantacyjny nowej generacji dla medycyny regeneracyjnej</w:t>
      </w:r>
      <w:r>
        <w:rPr>
          <w:rFonts w:ascii="calibri" w:hAnsi="calibri" w:eastAsia="calibri" w:cs="calibri"/>
          <w:sz w:val="24"/>
          <w:szCs w:val="24"/>
        </w:rPr>
        <w:t xml:space="preserve"> – popularnie nazwany „sztuczną kością” to oryginalne rozwiązanie w zakresie nowoczesnych preparatów implantacyjnych III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kategoria: Innowacyjny wyrób medyczny: nominacji nie przyznano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IV kategoria: Innowacyjna kampania zdrowotna: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SERVIER POLSKA SP. Z O.O. za: „Servier dla Serca</w:t>
      </w:r>
      <w:r>
        <w:rPr>
          <w:rFonts w:ascii="calibri" w:hAnsi="calibri" w:eastAsia="calibri" w:cs="calibri"/>
          <w:sz w:val="24"/>
          <w:szCs w:val="24"/>
        </w:rPr>
        <w:t xml:space="preserve">” -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wszystkim zgłoszonym i gratulujemy nominowanym!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 w Polsce: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dziedzinie produktów leczniczych oferowanych przez firmy farmaceutyczne, wyrobów medycznych, a także stanowi wyróżnienie dla przełomowych dokonań i odkryć naukowców oraz kampanii zdrowotnych, których innowacyjność może mieć przełomowy wpływ na diagnostykę, leczenie i/lub zapobieganie chorobom u ludzi, zmianę stylu życia znaczącej grupy społecznej w kierunku większej świadomości i dbałości o zdrowie. Na straży najwyższego poziomu merytorycznego stoi niezależna kapituła, gromadząca 13 wybitnych postaci środowiska farmaceutycznego i medycznego pod przewodnictwem prof. Cezarego Szczylika, wyśmienitego onkologa i hematologa.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2026-01-18T16:34:41+01:00</dcterms:created>
  <dcterms:modified xsi:type="dcterms:W3CDTF">2026-01-18T16:34:41+01:00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